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FDAEF">
      <w:pPr>
        <w:spacing w:line="500" w:lineRule="exact"/>
        <w:ind w:firstLine="723"/>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赤峰市肿瘤</w:t>
      </w:r>
      <w:r>
        <w:rPr>
          <w:rFonts w:hint="eastAsia" w:ascii="宋体" w:hAnsi="宋体" w:eastAsia="宋体" w:cs="宋体"/>
          <w:b/>
          <w:bCs/>
          <w:sz w:val="36"/>
          <w:szCs w:val="36"/>
        </w:rPr>
        <w:t>医院</w:t>
      </w:r>
      <w:r>
        <w:rPr>
          <w:rFonts w:hint="eastAsia" w:ascii="宋体" w:hAnsi="宋体" w:eastAsia="宋体" w:cs="宋体"/>
          <w:b/>
          <w:bCs/>
          <w:sz w:val="36"/>
          <w:szCs w:val="36"/>
          <w:lang w:eastAsia="zh-CN"/>
        </w:rPr>
        <w:t>放射线设备性能评价和防护检测服务</w:t>
      </w:r>
      <w:r>
        <w:rPr>
          <w:rFonts w:hint="eastAsia" w:ascii="宋体" w:hAnsi="宋体" w:eastAsia="宋体" w:cs="宋体"/>
          <w:b/>
          <w:bCs/>
          <w:sz w:val="36"/>
          <w:szCs w:val="36"/>
        </w:rPr>
        <w:t>专业技术</w:t>
      </w:r>
      <w:r>
        <w:rPr>
          <w:rFonts w:hint="eastAsia" w:ascii="宋体" w:hAnsi="宋体" w:eastAsia="宋体" w:cs="宋体"/>
          <w:b/>
          <w:bCs/>
          <w:sz w:val="36"/>
          <w:szCs w:val="36"/>
          <w:lang w:eastAsia="zh-CN"/>
        </w:rPr>
        <w:t>要求</w:t>
      </w:r>
    </w:p>
    <w:p w14:paraId="1E090AC9">
      <w:pPr>
        <w:spacing w:line="500" w:lineRule="exact"/>
        <w:ind w:firstLine="723"/>
        <w:jc w:val="center"/>
        <w:rPr>
          <w:rFonts w:ascii="宋体" w:hAnsi="宋体" w:eastAsia="宋体" w:cs="宋体"/>
          <w:b/>
          <w:bCs/>
          <w:sz w:val="36"/>
          <w:szCs w:val="36"/>
        </w:rPr>
      </w:pPr>
    </w:p>
    <w:p w14:paraId="220B79C0">
      <w:pPr>
        <w:spacing w:line="500" w:lineRule="exact"/>
        <w:ind w:firstLine="482" w:firstLineChars="200"/>
        <w:rPr>
          <w:rFonts w:ascii="宋体" w:hAnsi="宋体" w:eastAsia="宋体" w:cs="宋体"/>
          <w:bCs/>
          <w:sz w:val="24"/>
          <w:szCs w:val="24"/>
        </w:rPr>
      </w:pPr>
      <w:r>
        <w:rPr>
          <w:rFonts w:hint="eastAsia" w:ascii="宋体" w:hAnsi="宋体" w:eastAsia="宋体" w:cs="宋体"/>
          <w:b/>
          <w:bCs/>
          <w:sz w:val="24"/>
          <w:szCs w:val="24"/>
        </w:rPr>
        <w:t>一、服务内容</w:t>
      </w:r>
      <w:r>
        <w:rPr>
          <w:rFonts w:hint="eastAsia" w:ascii="宋体" w:hAnsi="宋体" w:eastAsia="宋体" w:cs="宋体"/>
          <w:b/>
          <w:bCs/>
          <w:sz w:val="24"/>
          <w:szCs w:val="24"/>
          <w:lang w:eastAsia="zh-CN"/>
        </w:rPr>
        <w:t>（若有则适用）</w:t>
      </w:r>
      <w:r>
        <w:rPr>
          <w:rFonts w:hint="eastAsia" w:ascii="宋体" w:hAnsi="宋体" w:eastAsia="宋体" w:cs="宋体"/>
          <w:bCs/>
          <w:sz w:val="24"/>
          <w:szCs w:val="24"/>
        </w:rPr>
        <w:t>：</w:t>
      </w:r>
    </w:p>
    <w:p w14:paraId="517F8C4B">
      <w:pPr>
        <w:spacing w:line="500" w:lineRule="exact"/>
        <w:ind w:firstLine="480" w:firstLineChars="200"/>
        <w:rPr>
          <w:rFonts w:ascii="宋体" w:hAnsi="宋体" w:eastAsia="宋体" w:cs="宋体"/>
          <w:bCs/>
          <w:sz w:val="24"/>
          <w:szCs w:val="24"/>
        </w:rPr>
      </w:pPr>
      <w:r>
        <w:rPr>
          <w:rFonts w:hint="eastAsia" w:ascii="宋体" w:hAnsi="宋体" w:eastAsia="宋体" w:cs="宋体"/>
          <w:bCs/>
          <w:sz w:val="24"/>
          <w:szCs w:val="24"/>
        </w:rPr>
        <w:t>1、根据《中华人民共和国职业病防治法》第十七条、第十八条规定：新建、扩建、改建建设项目和技术改造、技</w:t>
      </w:r>
      <w:r>
        <w:rPr>
          <w:rFonts w:hint="eastAsia" w:ascii="宋体" w:hAnsi="宋体" w:eastAsia="宋体" w:cs="宋体"/>
          <w:bCs/>
          <w:sz w:val="24"/>
          <w:szCs w:val="24"/>
          <w:lang w:val="zh-CN"/>
        </w:rPr>
        <w:t>术</w:t>
      </w:r>
      <w:r>
        <w:rPr>
          <w:rFonts w:hint="eastAsia" w:ascii="宋体" w:hAnsi="宋体" w:eastAsia="宋体" w:cs="宋体"/>
          <w:bCs/>
          <w:sz w:val="24"/>
          <w:szCs w:val="24"/>
        </w:rPr>
        <w:t>引进项目（以下统称建设项目）可能产生职业病危害的，建设单位在可行性论证阶段应当向卫生监督部门提交职业病危害预评价报告；</w:t>
      </w:r>
      <w:r>
        <w:rPr>
          <w:rFonts w:ascii="宋体" w:hAnsi="宋体" w:eastAsia="宋体" w:cs="宋体"/>
          <w:bCs/>
          <w:sz w:val="24"/>
          <w:szCs w:val="24"/>
        </w:rPr>
        <w:t>建设单位在建设</w:t>
      </w:r>
      <w:r>
        <w:rPr>
          <w:rFonts w:hint="eastAsia" w:ascii="宋体" w:hAnsi="宋体" w:eastAsia="宋体" w:cs="宋体"/>
          <w:bCs/>
          <w:sz w:val="24"/>
          <w:szCs w:val="24"/>
        </w:rPr>
        <w:t>完毕</w:t>
      </w:r>
      <w:r>
        <w:rPr>
          <w:rFonts w:ascii="宋体" w:hAnsi="宋体" w:eastAsia="宋体" w:cs="宋体"/>
          <w:bCs/>
          <w:sz w:val="24"/>
          <w:szCs w:val="24"/>
        </w:rPr>
        <w:t>以后应向卫生监督部门提交</w:t>
      </w:r>
      <w:r>
        <w:rPr>
          <w:rFonts w:hint="eastAsia" w:ascii="宋体" w:hAnsi="宋体" w:eastAsia="宋体" w:cs="宋体"/>
          <w:bCs/>
          <w:sz w:val="24"/>
          <w:szCs w:val="24"/>
        </w:rPr>
        <w:t>职业病危害控制</w:t>
      </w:r>
      <w:r>
        <w:rPr>
          <w:rFonts w:ascii="宋体" w:hAnsi="宋体" w:eastAsia="宋体" w:cs="宋体"/>
          <w:bCs/>
          <w:sz w:val="24"/>
          <w:szCs w:val="24"/>
        </w:rPr>
        <w:t>效果</w:t>
      </w:r>
      <w:r>
        <w:rPr>
          <w:rFonts w:hint="eastAsia" w:ascii="宋体" w:hAnsi="宋体" w:eastAsia="宋体" w:cs="宋体"/>
          <w:bCs/>
          <w:sz w:val="24"/>
          <w:szCs w:val="24"/>
        </w:rPr>
        <w:t>评价报告。职业病危害评价报告应当对我院新增放射科项目可能产生的职业病危害因素及其对放射工作</w:t>
      </w:r>
      <w:r>
        <w:rPr>
          <w:rFonts w:ascii="宋体" w:hAnsi="宋体" w:eastAsia="宋体" w:cs="宋体"/>
          <w:bCs/>
          <w:sz w:val="24"/>
          <w:szCs w:val="24"/>
        </w:rPr>
        <w:t>人员</w:t>
      </w:r>
      <w:r>
        <w:rPr>
          <w:rFonts w:hint="eastAsia" w:ascii="宋体" w:hAnsi="宋体" w:eastAsia="宋体" w:cs="宋体"/>
          <w:bCs/>
          <w:sz w:val="24"/>
          <w:szCs w:val="24"/>
        </w:rPr>
        <w:t>和</w:t>
      </w:r>
      <w:r>
        <w:rPr>
          <w:rFonts w:ascii="宋体" w:hAnsi="宋体" w:eastAsia="宋体" w:cs="宋体"/>
          <w:bCs/>
          <w:sz w:val="24"/>
          <w:szCs w:val="24"/>
        </w:rPr>
        <w:t>公众</w:t>
      </w:r>
      <w:r>
        <w:rPr>
          <w:rFonts w:hint="eastAsia" w:ascii="宋体" w:hAnsi="宋体" w:eastAsia="宋体" w:cs="宋体"/>
          <w:bCs/>
          <w:sz w:val="24"/>
          <w:szCs w:val="24"/>
        </w:rPr>
        <w:t>健康的影响作出评价，确定防护措施</w:t>
      </w:r>
      <w:r>
        <w:rPr>
          <w:rFonts w:hint="eastAsia" w:ascii="宋体" w:hAnsi="宋体" w:eastAsia="宋体" w:cs="宋体"/>
          <w:bCs/>
          <w:sz w:val="24"/>
          <w:szCs w:val="24"/>
          <w:lang w:eastAsia="zh-CN"/>
        </w:rPr>
        <w:t>（预控评相关）</w:t>
      </w:r>
      <w:r>
        <w:rPr>
          <w:rFonts w:hint="eastAsia" w:ascii="宋体" w:hAnsi="宋体" w:eastAsia="宋体" w:cs="宋体"/>
          <w:bCs/>
          <w:sz w:val="24"/>
          <w:szCs w:val="24"/>
        </w:rPr>
        <w:t>。</w:t>
      </w:r>
    </w:p>
    <w:p w14:paraId="45DABD9E">
      <w:pPr>
        <w:spacing w:line="500" w:lineRule="exact"/>
        <w:ind w:firstLine="480" w:firstLineChars="200"/>
        <w:rPr>
          <w:rFonts w:ascii="宋体" w:hAnsi="宋体" w:eastAsia="宋体" w:cs="宋体"/>
          <w:bCs/>
          <w:sz w:val="24"/>
          <w:szCs w:val="24"/>
        </w:rPr>
      </w:pPr>
      <w:r>
        <w:rPr>
          <w:rFonts w:hint="eastAsia" w:ascii="宋体" w:hAnsi="宋体" w:eastAsia="宋体" w:cs="宋体"/>
          <w:bCs/>
          <w:sz w:val="24"/>
          <w:szCs w:val="24"/>
        </w:rPr>
        <w:t>2、根据《放射诊疗管理规定》第二十条规定放射诊疗设备每年至少做一次状态检测，检测合格后方可继续使用</w:t>
      </w:r>
      <w:r>
        <w:rPr>
          <w:rFonts w:hint="eastAsia" w:ascii="宋体" w:hAnsi="宋体" w:eastAsia="宋体" w:cs="宋体"/>
          <w:bCs/>
          <w:sz w:val="24"/>
          <w:szCs w:val="24"/>
          <w:lang w:eastAsia="zh-CN"/>
        </w:rPr>
        <w:t>（性能评价相关）</w:t>
      </w:r>
      <w:r>
        <w:rPr>
          <w:rFonts w:hint="eastAsia" w:ascii="宋体" w:hAnsi="宋体" w:eastAsia="宋体" w:cs="宋体"/>
          <w:bCs/>
          <w:sz w:val="24"/>
          <w:szCs w:val="24"/>
        </w:rPr>
        <w:t>。</w:t>
      </w:r>
    </w:p>
    <w:p w14:paraId="7B6A9BB0">
      <w:pPr>
        <w:spacing w:line="500" w:lineRule="exact"/>
        <w:ind w:firstLine="480" w:firstLineChars="200"/>
        <w:rPr>
          <w:rFonts w:ascii="宋体" w:hAnsi="宋体" w:eastAsia="宋体" w:cs="宋体"/>
          <w:bCs/>
          <w:sz w:val="24"/>
          <w:szCs w:val="24"/>
        </w:rPr>
      </w:pPr>
      <w:r>
        <w:rPr>
          <w:rFonts w:hint="eastAsia" w:ascii="宋体" w:hAnsi="宋体" w:eastAsia="宋体" w:cs="宋体"/>
          <w:bCs/>
          <w:sz w:val="24"/>
          <w:szCs w:val="24"/>
        </w:rPr>
        <w:t xml:space="preserve">3、根据《WS76-2020 </w:t>
      </w:r>
      <w:r>
        <w:rPr>
          <w:rFonts w:ascii="宋体" w:hAnsi="宋体" w:eastAsia="宋体" w:cs="宋体"/>
          <w:bCs/>
          <w:sz w:val="24"/>
          <w:szCs w:val="24"/>
        </w:rPr>
        <w:t>医用 X 射线诊断设备质量控制检测规范</w:t>
      </w:r>
      <w:r>
        <w:rPr>
          <w:rFonts w:hint="eastAsia" w:ascii="宋体" w:hAnsi="宋体" w:eastAsia="宋体" w:cs="宋体"/>
          <w:bCs/>
          <w:sz w:val="24"/>
          <w:szCs w:val="24"/>
        </w:rPr>
        <w:t>》放射诊疗设备每年至少做一次稳定性检测，检测合格后方可继续使用</w:t>
      </w:r>
      <w:r>
        <w:rPr>
          <w:rFonts w:hint="eastAsia" w:ascii="宋体" w:hAnsi="宋体" w:eastAsia="宋体" w:cs="宋体"/>
          <w:bCs/>
          <w:sz w:val="24"/>
          <w:szCs w:val="24"/>
          <w:lang w:eastAsia="zh-CN"/>
        </w:rPr>
        <w:t>（性能评价相关）</w:t>
      </w:r>
      <w:r>
        <w:rPr>
          <w:rFonts w:hint="eastAsia" w:ascii="宋体" w:hAnsi="宋体" w:eastAsia="宋体" w:cs="宋体"/>
          <w:bCs/>
          <w:sz w:val="24"/>
          <w:szCs w:val="24"/>
        </w:rPr>
        <w:t>。</w:t>
      </w:r>
    </w:p>
    <w:p w14:paraId="130B0D82">
      <w:pPr>
        <w:spacing w:line="500" w:lineRule="exact"/>
        <w:ind w:firstLine="480" w:firstLineChars="200"/>
        <w:rPr>
          <w:rFonts w:ascii="宋体" w:hAnsi="宋体" w:eastAsia="宋体" w:cs="宋体"/>
          <w:bCs/>
          <w:sz w:val="24"/>
          <w:szCs w:val="24"/>
        </w:rPr>
      </w:pPr>
      <w:r>
        <w:rPr>
          <w:rFonts w:hint="eastAsia" w:ascii="宋体" w:hAnsi="宋体" w:eastAsia="宋体" w:cs="宋体"/>
          <w:bCs/>
          <w:sz w:val="24"/>
          <w:szCs w:val="24"/>
        </w:rPr>
        <w:t>4、根据《放射诊断放射防护要求GBZ-130》8.2 X 射线设备机房放射防护安全设施应进行竣工验收，在使用过程中，应进行定期检查和检测，定期检测的周期为一年</w:t>
      </w:r>
      <w:r>
        <w:rPr>
          <w:rFonts w:hint="eastAsia" w:ascii="宋体" w:hAnsi="宋体" w:eastAsia="宋体" w:cs="宋体"/>
          <w:bCs/>
          <w:sz w:val="24"/>
          <w:szCs w:val="24"/>
          <w:lang w:eastAsia="zh-CN"/>
        </w:rPr>
        <w:t>（防护性能检测相关）</w:t>
      </w:r>
      <w:r>
        <w:rPr>
          <w:rFonts w:hint="eastAsia" w:ascii="宋体" w:hAnsi="宋体" w:eastAsia="宋体" w:cs="宋体"/>
          <w:bCs/>
          <w:sz w:val="24"/>
          <w:szCs w:val="24"/>
        </w:rPr>
        <w:t>。</w:t>
      </w:r>
    </w:p>
    <w:p w14:paraId="45A194B1">
      <w:pPr>
        <w:widowControl/>
        <w:spacing w:line="500" w:lineRule="exact"/>
        <w:ind w:firstLine="482" w:firstLineChars="200"/>
        <w:jc w:val="left"/>
        <w:rPr>
          <w:rFonts w:ascii="宋体" w:hAnsi="宋体" w:eastAsia="宋体" w:cs="宋体"/>
          <w:bCs/>
          <w:sz w:val="24"/>
          <w:szCs w:val="24"/>
        </w:rPr>
      </w:pPr>
      <w:r>
        <w:rPr>
          <w:rFonts w:hint="eastAsia" w:ascii="宋体" w:hAnsi="宋体" w:eastAsia="宋体" w:cs="宋体"/>
          <w:b/>
          <w:sz w:val="24"/>
          <w:szCs w:val="24"/>
        </w:rPr>
        <w:t>二、服务要求</w:t>
      </w:r>
      <w:r>
        <w:rPr>
          <w:rFonts w:hint="eastAsia" w:ascii="宋体" w:hAnsi="宋体" w:eastAsia="宋体" w:cs="宋体"/>
          <w:bCs/>
          <w:sz w:val="24"/>
          <w:szCs w:val="24"/>
        </w:rPr>
        <w:t>：</w:t>
      </w:r>
    </w:p>
    <w:p w14:paraId="0D05A2E5">
      <w:pPr>
        <w:widowControl/>
        <w:spacing w:line="500" w:lineRule="exact"/>
        <w:ind w:firstLine="480" w:firstLineChars="200"/>
        <w:rPr>
          <w:rFonts w:ascii="宋体" w:hAnsi="宋体" w:eastAsia="宋体" w:cs="宋体"/>
          <w:bCs/>
          <w:sz w:val="24"/>
          <w:szCs w:val="24"/>
        </w:rPr>
      </w:pPr>
      <w:r>
        <w:rPr>
          <w:rFonts w:hint="eastAsia" w:ascii="宋体" w:hAnsi="宋体" w:eastAsia="宋体" w:cs="宋体"/>
          <w:bCs/>
          <w:sz w:val="24"/>
          <w:szCs w:val="24"/>
        </w:rPr>
        <w:t>1、按照有关法律、法规和相关技术标准的要求，对我院新增加放射科项目以及放射防护管理制度和放射防护措施进行评价，论证建设项目在放射防护方面的可行性和有效性。为建设单位改进和完善放射防护设施、辐射安全管理</w:t>
      </w:r>
      <w:r>
        <w:rPr>
          <w:rFonts w:ascii="宋体" w:hAnsi="宋体" w:eastAsia="宋体" w:cs="宋体"/>
          <w:bCs/>
          <w:sz w:val="24"/>
          <w:szCs w:val="24"/>
        </w:rPr>
        <w:t>制度</w:t>
      </w:r>
      <w:r>
        <w:rPr>
          <w:rFonts w:hint="eastAsia" w:ascii="宋体" w:hAnsi="宋体" w:eastAsia="宋体" w:cs="宋体"/>
          <w:bCs/>
          <w:sz w:val="24"/>
          <w:szCs w:val="24"/>
        </w:rPr>
        <w:t>和放射工作</w:t>
      </w:r>
      <w:r>
        <w:rPr>
          <w:rFonts w:ascii="宋体" w:hAnsi="宋体" w:eastAsia="宋体" w:cs="宋体"/>
          <w:bCs/>
          <w:sz w:val="24"/>
          <w:szCs w:val="24"/>
        </w:rPr>
        <w:t>人员</w:t>
      </w:r>
      <w:r>
        <w:rPr>
          <w:rFonts w:hint="eastAsia" w:ascii="宋体" w:hAnsi="宋体" w:eastAsia="宋体" w:cs="宋体"/>
          <w:bCs/>
          <w:sz w:val="24"/>
          <w:szCs w:val="24"/>
        </w:rPr>
        <w:t>年</w:t>
      </w:r>
      <w:r>
        <w:rPr>
          <w:rFonts w:ascii="宋体" w:hAnsi="宋体" w:eastAsia="宋体" w:cs="宋体"/>
          <w:bCs/>
          <w:sz w:val="24"/>
          <w:szCs w:val="24"/>
        </w:rPr>
        <w:t>有效剂量</w:t>
      </w:r>
      <w:r>
        <w:rPr>
          <w:rFonts w:hint="eastAsia" w:ascii="宋体" w:hAnsi="宋体" w:eastAsia="宋体" w:cs="宋体"/>
          <w:bCs/>
          <w:sz w:val="24"/>
          <w:szCs w:val="24"/>
        </w:rPr>
        <w:t>提供建议，保障放射工作人员和公众的健康和安全，并出具建设项目职业病危害放射防护预评价报告和</w:t>
      </w:r>
      <w:r>
        <w:rPr>
          <w:rFonts w:ascii="宋体" w:hAnsi="宋体" w:eastAsia="宋体" w:cs="宋体"/>
          <w:bCs/>
          <w:sz w:val="24"/>
          <w:szCs w:val="24"/>
        </w:rPr>
        <w:t>控制效果评价报告</w:t>
      </w:r>
      <w:r>
        <w:rPr>
          <w:rFonts w:hint="eastAsia" w:ascii="宋体" w:hAnsi="宋体" w:eastAsia="宋体" w:cs="宋体"/>
          <w:bCs/>
          <w:sz w:val="24"/>
          <w:szCs w:val="24"/>
        </w:rPr>
        <w:t>；对原有放射诊疗设备每年进行一次状态检测和场所防护检测并</w:t>
      </w:r>
      <w:r>
        <w:rPr>
          <w:rFonts w:ascii="宋体" w:hAnsi="宋体" w:eastAsia="宋体" w:cs="宋体"/>
          <w:bCs/>
          <w:sz w:val="24"/>
          <w:szCs w:val="24"/>
        </w:rPr>
        <w:t>出具相关检测报告</w:t>
      </w:r>
      <w:r>
        <w:rPr>
          <w:rFonts w:hint="eastAsia" w:ascii="宋体" w:hAnsi="宋体" w:eastAsia="宋体" w:cs="宋体"/>
          <w:bCs/>
          <w:sz w:val="24"/>
          <w:szCs w:val="24"/>
        </w:rPr>
        <w:t>。</w:t>
      </w:r>
    </w:p>
    <w:p w14:paraId="42900187">
      <w:pPr>
        <w:spacing w:line="500" w:lineRule="exact"/>
        <w:ind w:firstLine="480" w:firstLineChars="200"/>
        <w:rPr>
          <w:rFonts w:ascii="宋体" w:hAnsi="宋体" w:eastAsia="宋体" w:cs="宋体"/>
          <w:bCs/>
          <w:sz w:val="24"/>
          <w:szCs w:val="24"/>
        </w:rPr>
      </w:pPr>
      <w:r>
        <w:rPr>
          <w:rFonts w:hint="eastAsia" w:ascii="宋体" w:hAnsi="宋体" w:eastAsia="宋体" w:cs="宋体"/>
          <w:bCs/>
          <w:sz w:val="24"/>
          <w:szCs w:val="24"/>
        </w:rPr>
        <w:t>2、所出据的评价报告和检测报告的有关结论和建议，经卫生行政主管部门审查后，可作为卫生行政部门批准该项目的技术依据。</w:t>
      </w:r>
    </w:p>
    <w:p w14:paraId="01A94022">
      <w:pPr>
        <w:spacing w:line="500" w:lineRule="exact"/>
        <w:ind w:firstLine="482" w:firstLineChars="200"/>
        <w:rPr>
          <w:rFonts w:ascii="宋体" w:hAnsi="宋体" w:eastAsia="宋体" w:cs="宋体"/>
          <w:bCs/>
          <w:sz w:val="24"/>
          <w:szCs w:val="24"/>
        </w:rPr>
      </w:pPr>
      <w:r>
        <w:rPr>
          <w:rFonts w:hint="eastAsia" w:ascii="宋体" w:hAnsi="宋体" w:eastAsia="宋体" w:cs="宋体"/>
          <w:b/>
          <w:sz w:val="24"/>
          <w:szCs w:val="24"/>
        </w:rPr>
        <w:t>三、服务期限</w:t>
      </w:r>
      <w:r>
        <w:rPr>
          <w:rFonts w:hint="eastAsia" w:ascii="宋体" w:hAnsi="宋体" w:eastAsia="宋体" w:cs="宋体"/>
          <w:bCs/>
          <w:sz w:val="24"/>
          <w:szCs w:val="24"/>
        </w:rPr>
        <w:t>：合同中</w:t>
      </w:r>
      <w:r>
        <w:rPr>
          <w:rFonts w:ascii="宋体" w:hAnsi="宋体" w:eastAsia="宋体" w:cs="宋体"/>
          <w:bCs/>
          <w:sz w:val="24"/>
          <w:szCs w:val="24"/>
        </w:rPr>
        <w:t>约定</w:t>
      </w:r>
      <w:r>
        <w:rPr>
          <w:rFonts w:hint="eastAsia" w:ascii="宋体" w:hAnsi="宋体" w:eastAsia="宋体" w:cs="宋体"/>
          <w:bCs/>
          <w:sz w:val="24"/>
          <w:szCs w:val="24"/>
        </w:rPr>
        <w:t>。</w:t>
      </w:r>
    </w:p>
    <w:p w14:paraId="34F44FEC">
      <w:pPr>
        <w:spacing w:line="500" w:lineRule="exact"/>
        <w:ind w:firstLine="482" w:firstLineChars="200"/>
        <w:rPr>
          <w:rFonts w:ascii="宋体" w:hAnsi="宋体" w:eastAsia="宋体" w:cs="宋体"/>
          <w:bCs/>
          <w:sz w:val="24"/>
          <w:szCs w:val="24"/>
        </w:rPr>
      </w:pPr>
      <w:r>
        <w:rPr>
          <w:rFonts w:hint="eastAsia" w:ascii="宋体" w:hAnsi="宋体" w:eastAsia="宋体" w:cs="宋体"/>
          <w:b/>
          <w:sz w:val="24"/>
          <w:szCs w:val="24"/>
        </w:rPr>
        <w:t>四、资质审查</w:t>
      </w:r>
      <w:r>
        <w:rPr>
          <w:rFonts w:hint="eastAsia" w:ascii="宋体" w:hAnsi="宋体" w:eastAsia="宋体" w:cs="宋体"/>
          <w:bCs/>
          <w:sz w:val="24"/>
          <w:szCs w:val="24"/>
        </w:rPr>
        <w:t>：</w:t>
      </w:r>
    </w:p>
    <w:p w14:paraId="564EA787">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1、营业执照；</w:t>
      </w:r>
    </w:p>
    <w:p w14:paraId="00B1272E">
      <w:pPr>
        <w:spacing w:line="500" w:lineRule="exact"/>
        <w:ind w:firstLine="480" w:firstLineChars="200"/>
        <w:rPr>
          <w:rFonts w:ascii="宋体" w:hAnsi="宋体" w:eastAsia="宋体" w:cs="宋体"/>
          <w:bCs/>
          <w:sz w:val="24"/>
          <w:szCs w:val="24"/>
        </w:rPr>
      </w:pPr>
      <w:r>
        <w:rPr>
          <w:rFonts w:hint="eastAsia" w:ascii="宋体" w:hAnsi="宋体" w:eastAsia="宋体" w:cs="宋体"/>
          <w:sz w:val="24"/>
          <w:szCs w:val="24"/>
        </w:rPr>
        <w:t>2、具有</w:t>
      </w:r>
      <w:r>
        <w:rPr>
          <w:rFonts w:ascii="宋体" w:hAnsi="宋体" w:eastAsia="宋体" w:cs="宋体"/>
          <w:sz w:val="24"/>
          <w:szCs w:val="24"/>
        </w:rPr>
        <w:t>有</w:t>
      </w:r>
      <w:r>
        <w:rPr>
          <w:rFonts w:hint="eastAsia" w:ascii="宋体" w:hAnsi="宋体" w:eastAsia="宋体" w:cs="宋体"/>
          <w:sz w:val="24"/>
          <w:szCs w:val="24"/>
        </w:rPr>
        <w:t>效</w:t>
      </w:r>
      <w:r>
        <w:rPr>
          <w:rFonts w:ascii="宋体" w:hAnsi="宋体" w:eastAsia="宋体" w:cs="宋体"/>
          <w:sz w:val="24"/>
          <w:szCs w:val="24"/>
        </w:rPr>
        <w:t>的</w:t>
      </w:r>
      <w:r>
        <w:rPr>
          <w:rFonts w:hint="eastAsia" w:ascii="宋体" w:hAnsi="宋体" w:eastAsia="宋体" w:cs="宋体"/>
          <w:bCs/>
          <w:sz w:val="24"/>
          <w:szCs w:val="24"/>
        </w:rPr>
        <w:t>放射卫生技术服务机构资质证书</w:t>
      </w:r>
      <w:r>
        <w:rPr>
          <w:rFonts w:hint="eastAsia" w:ascii="宋体" w:hAnsi="宋体" w:eastAsia="宋体" w:cs="宋体"/>
          <w:bCs/>
          <w:sz w:val="24"/>
          <w:szCs w:val="24"/>
          <w:lang w:val="en-US" w:eastAsia="zh-CN"/>
        </w:rPr>
        <w:t>(乙级或以上)</w:t>
      </w:r>
      <w:r>
        <w:rPr>
          <w:rFonts w:hint="eastAsia" w:ascii="宋体" w:hAnsi="宋体" w:eastAsia="宋体" w:cs="宋体"/>
          <w:bCs/>
          <w:sz w:val="24"/>
          <w:szCs w:val="24"/>
        </w:rPr>
        <w:t>。</w:t>
      </w:r>
    </w:p>
    <w:p w14:paraId="6B0151FF">
      <w:pPr>
        <w:spacing w:line="500" w:lineRule="exact"/>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3、CMA检验检测机构资质认定证书；</w:t>
      </w:r>
    </w:p>
    <w:p w14:paraId="2B1735B2">
      <w:pPr>
        <w:spacing w:line="500" w:lineRule="exact"/>
        <w:ind w:firstLine="480" w:firstLineChars="200"/>
        <w:rPr>
          <w:rFonts w:ascii="宋体" w:hAnsi="宋体" w:eastAsia="宋体" w:cs="宋体"/>
          <w:bCs/>
          <w:color w:val="000000"/>
          <w:sz w:val="24"/>
          <w:szCs w:val="24"/>
        </w:rPr>
      </w:pPr>
      <w:r>
        <w:rPr>
          <w:rFonts w:ascii="宋体" w:hAnsi="宋体" w:eastAsia="宋体" w:cs="宋体"/>
          <w:bCs/>
          <w:color w:val="000000"/>
          <w:sz w:val="24"/>
          <w:szCs w:val="24"/>
        </w:rPr>
        <w:t>4、</w:t>
      </w:r>
      <w:r>
        <w:rPr>
          <w:rFonts w:hint="eastAsia" w:ascii="宋体" w:hAnsi="宋体" w:eastAsia="宋体" w:cs="宋体"/>
          <w:bCs/>
          <w:color w:val="000000"/>
          <w:sz w:val="24"/>
          <w:szCs w:val="24"/>
        </w:rPr>
        <w:t>未被列入“中国政府采购网”（</w:t>
      </w:r>
      <w:r>
        <w:rPr>
          <w:rFonts w:ascii="宋体" w:hAnsi="宋体" w:eastAsia="宋体" w:cs="宋体"/>
          <w:bCs/>
          <w:color w:val="000000"/>
          <w:sz w:val="24"/>
          <w:szCs w:val="24"/>
        </w:rPr>
        <w:t>www.ccgp.gov.cn）政府采购严重违法失信行为记录名单；</w:t>
      </w:r>
    </w:p>
    <w:p w14:paraId="48707A21">
      <w:pPr>
        <w:spacing w:line="500" w:lineRule="exact"/>
        <w:ind w:firstLine="480" w:firstLineChars="200"/>
        <w:rPr>
          <w:rFonts w:ascii="宋体" w:hAnsi="宋体" w:eastAsia="宋体" w:cs="宋体"/>
          <w:bCs/>
          <w:color w:val="000000"/>
          <w:sz w:val="24"/>
          <w:szCs w:val="24"/>
        </w:rPr>
      </w:pPr>
      <w:r>
        <w:rPr>
          <w:rFonts w:ascii="宋体" w:hAnsi="宋体" w:eastAsia="宋体" w:cs="宋体"/>
          <w:bCs/>
          <w:color w:val="000000"/>
          <w:sz w:val="24"/>
          <w:szCs w:val="24"/>
        </w:rPr>
        <w:t>5、未被列入“信用中国”网站(www.creditchina.gov.cn)失信被执行人、重大税收违法失信主体、政府采购严重违法失信行为记录</w:t>
      </w:r>
      <w:r>
        <w:rPr>
          <w:rFonts w:hint="eastAsia" w:ascii="宋体" w:hAnsi="宋体" w:eastAsia="宋体" w:cs="宋体"/>
          <w:bCs/>
          <w:color w:val="000000"/>
          <w:sz w:val="24"/>
          <w:szCs w:val="24"/>
        </w:rPr>
        <w:t>；</w:t>
      </w:r>
    </w:p>
    <w:p w14:paraId="679DC9A5">
      <w:pPr>
        <w:spacing w:line="500" w:lineRule="exact"/>
        <w:ind w:firstLine="480" w:firstLineChars="200"/>
        <w:rPr>
          <w:rFonts w:ascii="宋体" w:hAnsi="宋体" w:eastAsia="宋体" w:cs="宋体"/>
          <w:bCs/>
          <w:color w:val="000000"/>
          <w:sz w:val="24"/>
          <w:szCs w:val="24"/>
        </w:rPr>
      </w:pPr>
      <w:r>
        <w:rPr>
          <w:rFonts w:ascii="宋体" w:hAnsi="宋体" w:eastAsia="宋体" w:cs="宋体"/>
          <w:bCs/>
          <w:color w:val="000000"/>
          <w:sz w:val="24"/>
          <w:szCs w:val="24"/>
        </w:rPr>
        <w:t>6、本项目不接受联合体参与。</w:t>
      </w:r>
    </w:p>
    <w:p w14:paraId="2AA36B36">
      <w:pPr>
        <w:spacing w:line="500" w:lineRule="exact"/>
        <w:ind w:firstLine="482" w:firstLineChars="200"/>
        <w:rPr>
          <w:rFonts w:hint="eastAsia" w:ascii="宋体" w:hAnsi="宋体" w:eastAsia="宋体" w:cs="宋体"/>
          <w:b/>
          <w:bCs w:val="0"/>
          <w:color w:val="000000"/>
          <w:sz w:val="24"/>
          <w:szCs w:val="24"/>
          <w:lang w:eastAsia="zh-CN"/>
        </w:rPr>
      </w:pPr>
      <w:r>
        <w:rPr>
          <w:rFonts w:hint="eastAsia" w:ascii="宋体" w:hAnsi="宋体" w:eastAsia="宋体" w:cs="宋体"/>
          <w:b/>
          <w:bCs w:val="0"/>
          <w:color w:val="000000"/>
          <w:sz w:val="24"/>
          <w:szCs w:val="24"/>
          <w:lang w:eastAsia="zh-CN"/>
        </w:rPr>
        <w:t>五、评分标准</w:t>
      </w:r>
    </w:p>
    <w:p w14:paraId="2D5B6D5D">
      <w:pPr>
        <w:spacing w:line="500" w:lineRule="exact"/>
        <w:ind w:firstLine="482" w:firstLineChars="200"/>
        <w:rPr>
          <w:rFonts w:hint="eastAsia" w:ascii="宋体" w:hAnsi="宋体" w:eastAsia="宋体" w:cs="宋体"/>
          <w:b/>
          <w:bCs w:val="0"/>
          <w:color w:val="000000"/>
          <w:sz w:val="24"/>
          <w:szCs w:val="24"/>
          <w:lang w:eastAsia="zh-CN"/>
        </w:rPr>
      </w:pPr>
    </w:p>
    <w:p w14:paraId="697E8B1F">
      <w:pPr>
        <w:rPr>
          <w:rFonts w:ascii="宋体" w:hAnsi="宋体" w:eastAsia="宋体"/>
          <w:sz w:val="24"/>
          <w:szCs w:val="24"/>
        </w:rPr>
      </w:pPr>
      <w:r>
        <w:rPr>
          <w:rFonts w:hint="eastAsia" w:ascii="宋体" w:hAnsi="宋体" w:eastAsia="宋体"/>
          <w:sz w:val="24"/>
          <w:szCs w:val="24"/>
        </w:rPr>
        <w:t>由磋商小组采用综合评分法对提交最后报价的供应商的响应文件和最后报价进行综合评分(得分四舍五入保留两位小数)。</w:t>
      </w:r>
    </w:p>
    <w:p w14:paraId="66CC26F8">
      <w:pPr>
        <w:rPr>
          <w:rFonts w:ascii="宋体" w:hAnsi="宋体" w:eastAsia="宋体"/>
          <w:sz w:val="24"/>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418"/>
        <w:gridCol w:w="2841"/>
        <w:gridCol w:w="2766"/>
      </w:tblGrid>
      <w:tr w14:paraId="0F09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9" w:type="dxa"/>
            <w:gridSpan w:val="2"/>
            <w:vAlign w:val="center"/>
          </w:tcPr>
          <w:p w14:paraId="097ACC0D">
            <w:pPr>
              <w:jc w:val="center"/>
              <w:rPr>
                <w:rFonts w:ascii="宋体" w:hAnsi="宋体" w:eastAsia="宋体"/>
                <w:sz w:val="24"/>
                <w:szCs w:val="24"/>
              </w:rPr>
            </w:pPr>
            <w:r>
              <w:rPr>
                <w:rFonts w:hint="eastAsia" w:ascii="宋体" w:hAnsi="宋体" w:eastAsia="宋体"/>
                <w:sz w:val="24"/>
                <w:szCs w:val="24"/>
              </w:rPr>
              <w:t>评审</w:t>
            </w:r>
            <w:r>
              <w:rPr>
                <w:rFonts w:ascii="宋体" w:hAnsi="宋体" w:eastAsia="宋体"/>
                <w:sz w:val="24"/>
                <w:szCs w:val="24"/>
              </w:rPr>
              <w:t>因素</w:t>
            </w:r>
          </w:p>
        </w:tc>
        <w:tc>
          <w:tcPr>
            <w:tcW w:w="2841" w:type="dxa"/>
            <w:vAlign w:val="center"/>
          </w:tcPr>
          <w:p w14:paraId="58BF4852">
            <w:pPr>
              <w:jc w:val="center"/>
              <w:rPr>
                <w:rFonts w:ascii="宋体" w:hAnsi="宋体" w:eastAsia="宋体"/>
                <w:sz w:val="24"/>
                <w:szCs w:val="24"/>
              </w:rPr>
            </w:pPr>
            <w:r>
              <w:rPr>
                <w:rFonts w:hint="eastAsia" w:ascii="宋体" w:hAnsi="宋体" w:eastAsia="宋体"/>
                <w:sz w:val="24"/>
                <w:szCs w:val="24"/>
              </w:rPr>
              <w:t>评审</w:t>
            </w:r>
            <w:r>
              <w:rPr>
                <w:rFonts w:ascii="宋体" w:hAnsi="宋体" w:eastAsia="宋体"/>
                <w:sz w:val="24"/>
                <w:szCs w:val="24"/>
              </w:rPr>
              <w:t>内容</w:t>
            </w:r>
          </w:p>
        </w:tc>
        <w:tc>
          <w:tcPr>
            <w:tcW w:w="2766" w:type="dxa"/>
            <w:vAlign w:val="center"/>
          </w:tcPr>
          <w:p w14:paraId="656FC6B9">
            <w:pPr>
              <w:jc w:val="center"/>
              <w:rPr>
                <w:rFonts w:ascii="宋体" w:hAnsi="宋体" w:eastAsia="宋体"/>
                <w:sz w:val="24"/>
                <w:szCs w:val="24"/>
              </w:rPr>
            </w:pPr>
            <w:r>
              <w:rPr>
                <w:rFonts w:hint="eastAsia" w:ascii="宋体" w:hAnsi="宋体" w:eastAsia="宋体"/>
                <w:sz w:val="24"/>
                <w:szCs w:val="24"/>
              </w:rPr>
              <w:t>评审</w:t>
            </w:r>
            <w:r>
              <w:rPr>
                <w:rFonts w:ascii="宋体" w:hAnsi="宋体" w:eastAsia="宋体"/>
                <w:sz w:val="24"/>
                <w:szCs w:val="24"/>
              </w:rPr>
              <w:t>标准</w:t>
            </w:r>
          </w:p>
        </w:tc>
      </w:tr>
      <w:tr w14:paraId="362D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9" w:type="dxa"/>
            <w:gridSpan w:val="2"/>
            <w:vAlign w:val="center"/>
          </w:tcPr>
          <w:p w14:paraId="7C171423">
            <w:pPr>
              <w:rPr>
                <w:rFonts w:ascii="宋体" w:hAnsi="宋体" w:eastAsia="宋体"/>
                <w:sz w:val="24"/>
                <w:szCs w:val="24"/>
              </w:rPr>
            </w:pPr>
            <w:r>
              <w:rPr>
                <w:rFonts w:hint="eastAsia" w:ascii="宋体" w:hAnsi="宋体" w:eastAsia="宋体"/>
                <w:sz w:val="24"/>
                <w:szCs w:val="24"/>
              </w:rPr>
              <w:t>分值</w:t>
            </w:r>
            <w:r>
              <w:rPr>
                <w:rFonts w:ascii="宋体" w:hAnsi="宋体" w:eastAsia="宋体"/>
                <w:sz w:val="24"/>
                <w:szCs w:val="24"/>
              </w:rPr>
              <w:t>构成（</w:t>
            </w:r>
            <w:r>
              <w:rPr>
                <w:rFonts w:hint="eastAsia" w:ascii="宋体" w:hAnsi="宋体" w:eastAsia="宋体"/>
                <w:sz w:val="24"/>
                <w:szCs w:val="24"/>
              </w:rPr>
              <w:t>满分100分</w:t>
            </w:r>
            <w:r>
              <w:rPr>
                <w:rFonts w:ascii="宋体" w:hAnsi="宋体" w:eastAsia="宋体"/>
                <w:sz w:val="24"/>
                <w:szCs w:val="24"/>
              </w:rPr>
              <w:t>）</w:t>
            </w:r>
          </w:p>
        </w:tc>
        <w:tc>
          <w:tcPr>
            <w:tcW w:w="5607" w:type="dxa"/>
            <w:gridSpan w:val="2"/>
          </w:tcPr>
          <w:p w14:paraId="71DEB6F6">
            <w:pPr>
              <w:rPr>
                <w:rFonts w:hint="eastAsia" w:ascii="宋体" w:hAnsi="宋体" w:eastAsia="宋体" w:cs="宋体"/>
                <w:sz w:val="21"/>
                <w:szCs w:val="21"/>
              </w:rPr>
            </w:pPr>
            <w:r>
              <w:rPr>
                <w:rFonts w:hint="eastAsia" w:ascii="宋体" w:hAnsi="宋体" w:eastAsia="宋体" w:cs="宋体"/>
                <w:sz w:val="21"/>
                <w:szCs w:val="21"/>
              </w:rPr>
              <w:t>供应商的评审总得分，分别为响应报价、商务、技术3项评审因素的汇总得分。</w:t>
            </w:r>
          </w:p>
          <w:p w14:paraId="630941D7">
            <w:pPr>
              <w:rPr>
                <w:rFonts w:hint="eastAsia" w:ascii="宋体" w:hAnsi="宋体" w:eastAsia="宋体" w:cs="宋体"/>
                <w:sz w:val="21"/>
                <w:szCs w:val="21"/>
              </w:rPr>
            </w:pPr>
            <w:r>
              <w:rPr>
                <w:rFonts w:hint="eastAsia" w:ascii="宋体" w:hAnsi="宋体" w:eastAsia="宋体" w:cs="宋体"/>
                <w:sz w:val="21"/>
                <w:szCs w:val="21"/>
              </w:rPr>
              <w:t>响应报价:10分，商务部分:16分，技术部分:74分</w:t>
            </w:r>
          </w:p>
        </w:tc>
      </w:tr>
      <w:tr w14:paraId="1EC7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9" w:type="dxa"/>
            <w:gridSpan w:val="2"/>
            <w:vAlign w:val="center"/>
          </w:tcPr>
          <w:p w14:paraId="2C4ED8B3">
            <w:pPr>
              <w:rPr>
                <w:rFonts w:ascii="宋体" w:hAnsi="宋体" w:eastAsia="宋体"/>
                <w:sz w:val="24"/>
                <w:szCs w:val="24"/>
              </w:rPr>
            </w:pPr>
            <w:r>
              <w:rPr>
                <w:rFonts w:hint="eastAsia" w:ascii="宋体" w:hAnsi="宋体" w:eastAsia="宋体"/>
                <w:sz w:val="24"/>
                <w:szCs w:val="24"/>
              </w:rPr>
              <w:t>响应</w:t>
            </w:r>
            <w:r>
              <w:rPr>
                <w:rFonts w:ascii="宋体" w:hAnsi="宋体" w:eastAsia="宋体"/>
                <w:sz w:val="24"/>
                <w:szCs w:val="24"/>
              </w:rPr>
              <w:t>基准价计算方法</w:t>
            </w:r>
          </w:p>
        </w:tc>
        <w:tc>
          <w:tcPr>
            <w:tcW w:w="5607" w:type="dxa"/>
            <w:gridSpan w:val="2"/>
          </w:tcPr>
          <w:p w14:paraId="08F1DB52">
            <w:pPr>
              <w:rPr>
                <w:rFonts w:hint="eastAsia" w:ascii="宋体" w:hAnsi="宋体" w:eastAsia="宋体" w:cs="宋体"/>
                <w:sz w:val="21"/>
                <w:szCs w:val="21"/>
              </w:rPr>
            </w:pPr>
            <w:r>
              <w:rPr>
                <w:rFonts w:hint="eastAsia" w:ascii="宋体" w:hAnsi="宋体" w:eastAsia="宋体" w:cs="宋体"/>
                <w:sz w:val="21"/>
                <w:szCs w:val="21"/>
              </w:rPr>
              <w:t>响应基准价是指满足竞争性磋商文件各项要求，各供应商报价中的最低报价。</w:t>
            </w:r>
          </w:p>
        </w:tc>
      </w:tr>
      <w:tr w14:paraId="1585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9" w:type="dxa"/>
            <w:gridSpan w:val="2"/>
            <w:vAlign w:val="center"/>
          </w:tcPr>
          <w:p w14:paraId="6E80DDEF">
            <w:pPr>
              <w:rPr>
                <w:rFonts w:ascii="宋体" w:hAnsi="宋体" w:eastAsia="宋体"/>
                <w:sz w:val="24"/>
                <w:szCs w:val="24"/>
              </w:rPr>
            </w:pPr>
            <w:r>
              <w:rPr>
                <w:rFonts w:hint="eastAsia" w:ascii="宋体" w:hAnsi="宋体" w:eastAsia="宋体"/>
                <w:sz w:val="24"/>
                <w:szCs w:val="24"/>
              </w:rPr>
              <w:t>响应</w:t>
            </w:r>
            <w:r>
              <w:rPr>
                <w:rFonts w:ascii="宋体" w:hAnsi="宋体" w:eastAsia="宋体"/>
                <w:sz w:val="24"/>
                <w:szCs w:val="24"/>
              </w:rPr>
              <w:t>报价评分标准（</w:t>
            </w:r>
            <w:r>
              <w:rPr>
                <w:rFonts w:hint="eastAsia" w:ascii="宋体" w:hAnsi="宋体" w:eastAsia="宋体"/>
                <w:sz w:val="24"/>
                <w:szCs w:val="24"/>
              </w:rPr>
              <w:t>10分</w:t>
            </w:r>
            <w:r>
              <w:rPr>
                <w:rFonts w:ascii="宋体" w:hAnsi="宋体" w:eastAsia="宋体"/>
                <w:sz w:val="24"/>
                <w:szCs w:val="24"/>
              </w:rPr>
              <w:t>）</w:t>
            </w:r>
          </w:p>
        </w:tc>
        <w:tc>
          <w:tcPr>
            <w:tcW w:w="5607" w:type="dxa"/>
            <w:gridSpan w:val="2"/>
          </w:tcPr>
          <w:p w14:paraId="671ED842">
            <w:pPr>
              <w:rPr>
                <w:rFonts w:hint="eastAsia" w:ascii="宋体" w:hAnsi="宋体" w:eastAsia="宋体" w:cs="宋体"/>
                <w:sz w:val="21"/>
                <w:szCs w:val="21"/>
              </w:rPr>
            </w:pPr>
            <w:r>
              <w:rPr>
                <w:rFonts w:hint="eastAsia" w:ascii="宋体" w:hAnsi="宋体" w:eastAsia="宋体" w:cs="宋体"/>
                <w:sz w:val="21"/>
                <w:szCs w:val="21"/>
              </w:rPr>
              <w:t>响应报价得分=(响应基准价/响应报价(最终报价))×价格权值(10%)×100</w:t>
            </w:r>
          </w:p>
          <w:p w14:paraId="73B34893">
            <w:pPr>
              <w:rPr>
                <w:rFonts w:hint="eastAsia" w:ascii="宋体" w:hAnsi="宋体" w:eastAsia="宋体" w:cs="宋体"/>
                <w:sz w:val="21"/>
                <w:szCs w:val="21"/>
              </w:rPr>
            </w:pPr>
            <w:r>
              <w:rPr>
                <w:rFonts w:hint="eastAsia" w:ascii="宋体" w:hAnsi="宋体" w:eastAsia="宋体" w:cs="宋体"/>
                <w:sz w:val="21"/>
                <w:szCs w:val="21"/>
              </w:rPr>
              <w:t>因落实政府采购政策进行价格调整的，以调整后的价格计算响应基准价和响应报价。</w:t>
            </w:r>
          </w:p>
        </w:tc>
      </w:tr>
      <w:tr w14:paraId="368F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9" w:type="dxa"/>
            <w:gridSpan w:val="2"/>
            <w:vAlign w:val="center"/>
          </w:tcPr>
          <w:p w14:paraId="5A3DFE04">
            <w:pPr>
              <w:rPr>
                <w:rFonts w:ascii="宋体" w:hAnsi="宋体" w:eastAsia="宋体"/>
                <w:sz w:val="24"/>
                <w:szCs w:val="24"/>
              </w:rPr>
            </w:pPr>
            <w:r>
              <w:rPr>
                <w:rFonts w:hint="eastAsia" w:ascii="宋体" w:hAnsi="宋体" w:eastAsia="宋体"/>
                <w:sz w:val="24"/>
                <w:szCs w:val="24"/>
              </w:rPr>
              <w:t>评审原则</w:t>
            </w:r>
          </w:p>
        </w:tc>
        <w:tc>
          <w:tcPr>
            <w:tcW w:w="5607" w:type="dxa"/>
            <w:gridSpan w:val="2"/>
          </w:tcPr>
          <w:p w14:paraId="4D8A2265">
            <w:pPr>
              <w:rPr>
                <w:rFonts w:hint="eastAsia" w:ascii="宋体" w:hAnsi="宋体" w:eastAsia="宋体" w:cs="宋体"/>
                <w:sz w:val="21"/>
                <w:szCs w:val="21"/>
              </w:rPr>
            </w:pPr>
            <w:r>
              <w:rPr>
                <w:rFonts w:hint="eastAsia" w:ascii="宋体" w:hAnsi="宋体" w:eastAsia="宋体" w:cs="宋体"/>
                <w:sz w:val="21"/>
                <w:szCs w:val="21"/>
              </w:rPr>
              <w:t>1.磋商小组根据响应文件进行综合评审。</w:t>
            </w:r>
          </w:p>
          <w:p w14:paraId="31E6E09C">
            <w:pPr>
              <w:rPr>
                <w:rFonts w:hint="eastAsia" w:ascii="宋体" w:hAnsi="宋体" w:eastAsia="宋体" w:cs="宋体"/>
                <w:sz w:val="21"/>
                <w:szCs w:val="21"/>
              </w:rPr>
            </w:pPr>
            <w:r>
              <w:rPr>
                <w:rFonts w:hint="eastAsia" w:ascii="宋体" w:hAnsi="宋体" w:eastAsia="宋体" w:cs="宋体"/>
                <w:sz w:val="21"/>
                <w:szCs w:val="21"/>
              </w:rPr>
              <w:t>2.磋商小组按供应商综合得分高低依次排序将前三名作为成交候选人推荐给采购人，成交供应商由采购人依法确定。如果出现两个(含两个)以上供应商得分相同的情况，按投标报价由低到高顺序排列，得分且投标报价相同的，按技术指标优劣顺序排列。</w:t>
            </w:r>
          </w:p>
          <w:p w14:paraId="0D892A21">
            <w:pPr>
              <w:rPr>
                <w:rFonts w:hint="eastAsia" w:ascii="宋体" w:hAnsi="宋体" w:eastAsia="宋体" w:cs="宋体"/>
                <w:sz w:val="21"/>
                <w:szCs w:val="21"/>
              </w:rPr>
            </w:pPr>
            <w:r>
              <w:rPr>
                <w:rFonts w:hint="eastAsia" w:ascii="宋体" w:hAnsi="宋体" w:eastAsia="宋体" w:cs="宋体"/>
                <w:sz w:val="21"/>
                <w:szCs w:val="21"/>
              </w:rPr>
              <w:t>3.最低报价不是成交的唯一依据。</w:t>
            </w:r>
          </w:p>
        </w:tc>
      </w:tr>
      <w:tr w14:paraId="1414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9" w:type="dxa"/>
            <w:gridSpan w:val="2"/>
            <w:vAlign w:val="center"/>
          </w:tcPr>
          <w:p w14:paraId="3ED7299A">
            <w:pPr>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5607" w:type="dxa"/>
            <w:gridSpan w:val="2"/>
            <w:vAlign w:val="center"/>
          </w:tcPr>
          <w:p w14:paraId="7583D359">
            <w:pPr>
              <w:jc w:val="center"/>
              <w:rPr>
                <w:rFonts w:hint="eastAsia" w:ascii="宋体" w:hAnsi="宋体" w:eastAsia="宋体" w:cs="宋体"/>
                <w:sz w:val="21"/>
                <w:szCs w:val="21"/>
              </w:rPr>
            </w:pPr>
            <w:r>
              <w:rPr>
                <w:rFonts w:hint="eastAsia" w:ascii="宋体" w:hAnsi="宋体" w:eastAsia="宋体" w:cs="宋体"/>
                <w:sz w:val="21"/>
                <w:szCs w:val="21"/>
              </w:rPr>
              <w:t>评分标准说明</w:t>
            </w:r>
          </w:p>
        </w:tc>
      </w:tr>
      <w:tr w14:paraId="29CC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14:paraId="5F0D8F31">
            <w:pPr>
              <w:rPr>
                <w:rFonts w:hint="eastAsia" w:ascii="宋体" w:hAnsi="宋体" w:eastAsia="宋体" w:cs="宋体"/>
                <w:sz w:val="24"/>
                <w:szCs w:val="24"/>
              </w:rPr>
            </w:pPr>
            <w:r>
              <w:rPr>
                <w:rFonts w:hint="eastAsia" w:ascii="宋体" w:hAnsi="宋体" w:eastAsia="宋体" w:cs="宋体"/>
                <w:sz w:val="24"/>
                <w:szCs w:val="24"/>
              </w:rPr>
              <w:t>技术部分（74分）</w:t>
            </w:r>
          </w:p>
        </w:tc>
        <w:tc>
          <w:tcPr>
            <w:tcW w:w="1418" w:type="dxa"/>
            <w:vAlign w:val="center"/>
          </w:tcPr>
          <w:p w14:paraId="3A7FC575">
            <w:pPr>
              <w:rPr>
                <w:rFonts w:hint="eastAsia" w:ascii="宋体" w:hAnsi="宋体" w:eastAsia="宋体" w:cs="宋体"/>
                <w:sz w:val="24"/>
                <w:szCs w:val="24"/>
              </w:rPr>
            </w:pPr>
            <w:r>
              <w:rPr>
                <w:rFonts w:hint="eastAsia" w:ascii="宋体" w:hAnsi="宋体" w:eastAsia="宋体" w:cs="宋体"/>
                <w:sz w:val="24"/>
                <w:szCs w:val="24"/>
              </w:rPr>
              <w:t>服务方案（15分）</w:t>
            </w:r>
          </w:p>
        </w:tc>
        <w:tc>
          <w:tcPr>
            <w:tcW w:w="5607" w:type="dxa"/>
            <w:gridSpan w:val="2"/>
          </w:tcPr>
          <w:p w14:paraId="4884A91C">
            <w:pPr>
              <w:widowControl/>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服务方案是否符合国家相关规范要求，针对项目内容方面的见解和具体行之有效的措施，验证与检测的合理性，检测方法和内容的完整性等。 </w:t>
            </w:r>
          </w:p>
          <w:p w14:paraId="0368F690">
            <w:pPr>
              <w:widowControl/>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（1）从专业角度对本项目理解透彻、分析全面，充分满足项目要求，方案详尽，可行性强的得15分； </w:t>
            </w:r>
          </w:p>
          <w:p w14:paraId="43E30089">
            <w:pPr>
              <w:widowControl/>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（2）对本项目理解较透彻、分析较全面，基本满足项目要求，方案较为详尽，可行性较强的得13分；</w:t>
            </w:r>
          </w:p>
          <w:p w14:paraId="4F9A3F32">
            <w:pPr>
              <w:widowControl/>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（3）总体服务方案基本全面、表述基本清晰、基本科学合理、基本可行的得10分；</w:t>
            </w:r>
          </w:p>
          <w:p w14:paraId="7D8A8949">
            <w:pPr>
              <w:widowControl/>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（4）不完全满足项目要求的，但不影响方案实施，得6分； </w:t>
            </w:r>
          </w:p>
          <w:p w14:paraId="5A7DCCD8">
            <w:pPr>
              <w:rPr>
                <w:rFonts w:hint="eastAsia" w:ascii="宋体" w:hAnsi="宋体" w:eastAsia="宋体" w:cs="宋体"/>
                <w:sz w:val="21"/>
                <w:szCs w:val="21"/>
              </w:rPr>
            </w:pPr>
            <w:r>
              <w:rPr>
                <w:rFonts w:hint="eastAsia" w:ascii="宋体" w:hAnsi="宋体" w:eastAsia="宋体" w:cs="宋体"/>
                <w:b w:val="0"/>
                <w:bCs w:val="0"/>
                <w:color w:val="000000"/>
                <w:sz w:val="21"/>
                <w:szCs w:val="21"/>
              </w:rPr>
              <w:t>（5）方案存在重大缺陷、可操作性较差，难以满足项目要求或未提供内容的，得0分；</w:t>
            </w:r>
          </w:p>
        </w:tc>
      </w:tr>
      <w:tr w14:paraId="1BE1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14:paraId="1ED63211">
            <w:pPr>
              <w:rPr>
                <w:rFonts w:hint="eastAsia" w:ascii="宋体" w:hAnsi="宋体" w:eastAsia="宋体" w:cs="宋体"/>
                <w:sz w:val="24"/>
                <w:szCs w:val="24"/>
              </w:rPr>
            </w:pPr>
          </w:p>
        </w:tc>
        <w:tc>
          <w:tcPr>
            <w:tcW w:w="1418" w:type="dxa"/>
            <w:vAlign w:val="center"/>
          </w:tcPr>
          <w:p w14:paraId="690210F4">
            <w:pPr>
              <w:rPr>
                <w:rFonts w:hint="eastAsia" w:ascii="宋体" w:hAnsi="宋体" w:eastAsia="宋体" w:cs="宋体"/>
                <w:sz w:val="24"/>
                <w:szCs w:val="24"/>
              </w:rPr>
            </w:pPr>
            <w:r>
              <w:rPr>
                <w:rFonts w:hint="eastAsia" w:ascii="宋体" w:hAnsi="宋体" w:eastAsia="宋体" w:cs="宋体"/>
                <w:sz w:val="24"/>
                <w:szCs w:val="24"/>
              </w:rPr>
              <w:t>质量保证措施(15分)</w:t>
            </w:r>
          </w:p>
        </w:tc>
        <w:tc>
          <w:tcPr>
            <w:tcW w:w="5607" w:type="dxa"/>
            <w:gridSpan w:val="2"/>
          </w:tcPr>
          <w:p w14:paraId="58F00B7C">
            <w:pPr>
              <w:rPr>
                <w:rFonts w:hint="eastAsia" w:ascii="宋体" w:hAnsi="宋体" w:eastAsia="宋体" w:cs="宋体"/>
                <w:sz w:val="21"/>
                <w:szCs w:val="21"/>
              </w:rPr>
            </w:pPr>
            <w:r>
              <w:rPr>
                <w:rFonts w:hint="eastAsia" w:ascii="宋体" w:hAnsi="宋体" w:eastAsia="宋体" w:cs="宋体"/>
                <w:sz w:val="21"/>
                <w:szCs w:val="21"/>
              </w:rPr>
              <w:t>（1）检测质量目标明确，质量保证措施控制措施合理，实施方法可行，方式科学，得15分；</w:t>
            </w:r>
          </w:p>
          <w:p w14:paraId="1D5149BF">
            <w:pPr>
              <w:rPr>
                <w:rFonts w:hint="eastAsia" w:ascii="宋体" w:hAnsi="宋体" w:eastAsia="宋体" w:cs="宋体"/>
                <w:sz w:val="21"/>
                <w:szCs w:val="21"/>
              </w:rPr>
            </w:pPr>
            <w:r>
              <w:rPr>
                <w:rFonts w:hint="eastAsia" w:ascii="宋体" w:hAnsi="宋体" w:eastAsia="宋体" w:cs="宋体"/>
                <w:sz w:val="21"/>
                <w:szCs w:val="21"/>
              </w:rPr>
              <w:t>（2）检测质量目标较明确，质量保证措施控制措施较合理，实施方法较可行，方式较科学，得13分；</w:t>
            </w:r>
          </w:p>
          <w:p w14:paraId="2C3EC145">
            <w:pPr>
              <w:rPr>
                <w:rFonts w:hint="eastAsia" w:ascii="宋体" w:hAnsi="宋体" w:eastAsia="宋体" w:cs="宋体"/>
                <w:sz w:val="21"/>
                <w:szCs w:val="21"/>
              </w:rPr>
            </w:pPr>
            <w:r>
              <w:rPr>
                <w:rFonts w:hint="eastAsia" w:ascii="宋体" w:hAnsi="宋体" w:eastAsia="宋体" w:cs="宋体"/>
                <w:sz w:val="21"/>
                <w:szCs w:val="21"/>
              </w:rPr>
              <w:t>（3）检测质量目标基本明确，质量保证措施控制措施基本可行，实施方法基本可行，得10分；</w:t>
            </w:r>
          </w:p>
          <w:p w14:paraId="5B378FC9">
            <w:pPr>
              <w:rPr>
                <w:rFonts w:hint="eastAsia" w:ascii="宋体" w:hAnsi="宋体" w:eastAsia="宋体" w:cs="宋体"/>
                <w:sz w:val="21"/>
                <w:szCs w:val="21"/>
              </w:rPr>
            </w:pPr>
            <w:r>
              <w:rPr>
                <w:rFonts w:hint="eastAsia" w:ascii="宋体" w:hAnsi="宋体" w:eastAsia="宋体" w:cs="宋体"/>
                <w:sz w:val="21"/>
                <w:szCs w:val="21"/>
              </w:rPr>
              <w:t>（4）不完全保证项目质量要求的，但不影响方案实施，得6分</w:t>
            </w:r>
          </w:p>
          <w:p w14:paraId="762B92C3">
            <w:pPr>
              <w:rPr>
                <w:rFonts w:hint="eastAsia" w:ascii="宋体" w:hAnsi="宋体" w:eastAsia="宋体" w:cs="宋体"/>
                <w:sz w:val="21"/>
                <w:szCs w:val="21"/>
              </w:rPr>
            </w:pPr>
            <w:r>
              <w:rPr>
                <w:rFonts w:hint="eastAsia" w:ascii="宋体" w:hAnsi="宋体" w:eastAsia="宋体" w:cs="宋体"/>
                <w:sz w:val="21"/>
                <w:szCs w:val="21"/>
              </w:rPr>
              <w:t>（5）未提供方案或方案未到以上要求的，得0分。</w:t>
            </w:r>
          </w:p>
        </w:tc>
      </w:tr>
      <w:tr w14:paraId="5BA0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14:paraId="49FAD6E2">
            <w:pPr>
              <w:rPr>
                <w:rFonts w:hint="eastAsia" w:ascii="宋体" w:hAnsi="宋体" w:eastAsia="宋体" w:cs="宋体"/>
                <w:sz w:val="24"/>
                <w:szCs w:val="24"/>
              </w:rPr>
            </w:pPr>
          </w:p>
        </w:tc>
        <w:tc>
          <w:tcPr>
            <w:tcW w:w="1418" w:type="dxa"/>
            <w:vAlign w:val="center"/>
          </w:tcPr>
          <w:p w14:paraId="5F938927">
            <w:pPr>
              <w:rPr>
                <w:rFonts w:hint="eastAsia" w:ascii="宋体" w:hAnsi="宋体" w:eastAsia="宋体" w:cs="宋体"/>
                <w:sz w:val="24"/>
                <w:szCs w:val="24"/>
              </w:rPr>
            </w:pPr>
            <w:r>
              <w:rPr>
                <w:rFonts w:hint="eastAsia" w:ascii="宋体" w:hAnsi="宋体" w:eastAsia="宋体" w:cs="宋体"/>
                <w:sz w:val="24"/>
                <w:szCs w:val="24"/>
              </w:rPr>
              <w:t>进度计划安排(15分)</w:t>
            </w:r>
          </w:p>
        </w:tc>
        <w:tc>
          <w:tcPr>
            <w:tcW w:w="5607" w:type="dxa"/>
            <w:gridSpan w:val="2"/>
          </w:tcPr>
          <w:p w14:paraId="5E9D1E10">
            <w:pPr>
              <w:rPr>
                <w:rFonts w:hint="eastAsia" w:ascii="宋体" w:hAnsi="宋体" w:eastAsia="宋体" w:cs="宋体"/>
                <w:sz w:val="21"/>
                <w:szCs w:val="21"/>
              </w:rPr>
            </w:pPr>
            <w:r>
              <w:rPr>
                <w:rFonts w:hint="eastAsia" w:ascii="宋体" w:hAnsi="宋体" w:eastAsia="宋体" w:cs="宋体"/>
                <w:sz w:val="21"/>
                <w:szCs w:val="21"/>
              </w:rPr>
              <w:t>根据工作进度安排合理，进度控制措施可靠、有效情况进行综合评审:</w:t>
            </w:r>
          </w:p>
          <w:p w14:paraId="3D14CFA3">
            <w:pPr>
              <w:rPr>
                <w:rFonts w:hint="eastAsia" w:ascii="宋体" w:hAnsi="宋体" w:eastAsia="宋体" w:cs="宋体"/>
                <w:sz w:val="21"/>
                <w:szCs w:val="21"/>
              </w:rPr>
            </w:pPr>
            <w:r>
              <w:rPr>
                <w:rFonts w:hint="eastAsia" w:ascii="宋体" w:hAnsi="宋体" w:eastAsia="宋体" w:cs="宋体"/>
                <w:sz w:val="21"/>
                <w:szCs w:val="21"/>
              </w:rPr>
              <w:t>（1）各项进度安排合理可行，能够确保项目按期完成，充分满足项要求的，得15分；</w:t>
            </w:r>
          </w:p>
          <w:p w14:paraId="3FE4B4F9">
            <w:pPr>
              <w:rPr>
                <w:rFonts w:hint="eastAsia" w:ascii="宋体" w:hAnsi="宋体" w:eastAsia="宋体" w:cs="宋体"/>
                <w:sz w:val="21"/>
                <w:szCs w:val="21"/>
              </w:rPr>
            </w:pPr>
            <w:r>
              <w:rPr>
                <w:rFonts w:hint="eastAsia" w:ascii="宋体" w:hAnsi="宋体" w:eastAsia="宋体" w:cs="宋体"/>
                <w:sz w:val="21"/>
                <w:szCs w:val="21"/>
              </w:rPr>
              <w:t>（2）进度安排较合理，能够保障项目按期完成，基本满足项目要求的得13分；</w:t>
            </w:r>
          </w:p>
          <w:p w14:paraId="07118580">
            <w:pPr>
              <w:rPr>
                <w:rFonts w:hint="eastAsia" w:ascii="宋体" w:hAnsi="宋体" w:eastAsia="宋体" w:cs="宋体"/>
                <w:sz w:val="21"/>
                <w:szCs w:val="21"/>
              </w:rPr>
            </w:pPr>
            <w:r>
              <w:rPr>
                <w:rFonts w:hint="eastAsia" w:ascii="宋体" w:hAnsi="宋体" w:eastAsia="宋体" w:cs="宋体"/>
                <w:sz w:val="21"/>
                <w:szCs w:val="21"/>
              </w:rPr>
              <w:t>（3）进度安排存在一定瑕疵，但不影响方案实施，基本满足项目要求的得10分；</w:t>
            </w:r>
          </w:p>
          <w:p w14:paraId="1C9A3EC8">
            <w:pPr>
              <w:rPr>
                <w:rFonts w:hint="eastAsia" w:ascii="宋体" w:hAnsi="宋体" w:eastAsia="宋体" w:cs="宋体"/>
                <w:sz w:val="21"/>
                <w:szCs w:val="21"/>
              </w:rPr>
            </w:pPr>
            <w:r>
              <w:rPr>
                <w:rFonts w:hint="eastAsia" w:ascii="宋体" w:hAnsi="宋体" w:eastAsia="宋体" w:cs="宋体"/>
                <w:sz w:val="21"/>
                <w:szCs w:val="21"/>
              </w:rPr>
              <w:t>（4）进度安排存在缺陷，影响方案实施，不能完全满足项目要求的，得6分；</w:t>
            </w:r>
          </w:p>
          <w:p w14:paraId="0F33B3D4">
            <w:pPr>
              <w:rPr>
                <w:rFonts w:hint="eastAsia" w:ascii="宋体" w:hAnsi="宋体" w:eastAsia="宋体" w:cs="宋体"/>
                <w:sz w:val="21"/>
                <w:szCs w:val="21"/>
              </w:rPr>
            </w:pPr>
            <w:r>
              <w:rPr>
                <w:rFonts w:hint="eastAsia" w:ascii="宋体" w:hAnsi="宋体" w:eastAsia="宋体" w:cs="宋体"/>
                <w:sz w:val="21"/>
                <w:szCs w:val="21"/>
              </w:rPr>
              <w:t>（5）进度安排存在重大缺陷、可操作性较差，难以满足项目要求或未提供内容的，得0分；</w:t>
            </w:r>
          </w:p>
        </w:tc>
      </w:tr>
      <w:tr w14:paraId="436B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14:paraId="5FC7C7F5">
            <w:pPr>
              <w:rPr>
                <w:rFonts w:hint="eastAsia" w:ascii="宋体" w:hAnsi="宋体" w:eastAsia="宋体" w:cs="宋体"/>
                <w:sz w:val="24"/>
                <w:szCs w:val="24"/>
              </w:rPr>
            </w:pPr>
          </w:p>
        </w:tc>
        <w:tc>
          <w:tcPr>
            <w:tcW w:w="1418" w:type="dxa"/>
            <w:vAlign w:val="center"/>
          </w:tcPr>
          <w:p w14:paraId="089C4A0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对项目重点、难点分析（9分）</w:t>
            </w:r>
          </w:p>
        </w:tc>
        <w:tc>
          <w:tcPr>
            <w:tcW w:w="5607" w:type="dxa"/>
            <w:gridSpan w:val="2"/>
            <w:vAlign w:val="center"/>
          </w:tcPr>
          <w:p w14:paraId="43BAEEB4">
            <w:pPr>
              <w:widowControl/>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（1）能准确指出项目重点、难点并且检测思路明确，得9分；</w:t>
            </w:r>
          </w:p>
          <w:p w14:paraId="241D5905">
            <w:pPr>
              <w:widowControl/>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（2）能指出项目重点、难点并且检测思路基本明确，得7分；</w:t>
            </w:r>
          </w:p>
          <w:p w14:paraId="6714EF03">
            <w:pPr>
              <w:widowControl/>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（3）对项目了解程度一般，对重点与难点阐述清晰但分析不全面的得5分;</w:t>
            </w:r>
          </w:p>
          <w:p w14:paraId="210504AB">
            <w:pPr>
              <w:widowControl/>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（4）未能全面指出项目重点、难点并且检测思路不够明确，得2分；</w:t>
            </w:r>
          </w:p>
          <w:p w14:paraId="4EBE30EF">
            <w:pPr>
              <w:widowControl/>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（5）未提供方案或方案未到以上要求的，得0分。</w:t>
            </w:r>
          </w:p>
        </w:tc>
      </w:tr>
      <w:tr w14:paraId="6570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71" w:type="dxa"/>
            <w:vMerge w:val="continue"/>
          </w:tcPr>
          <w:p w14:paraId="3108B799">
            <w:pPr>
              <w:rPr>
                <w:rFonts w:hint="eastAsia" w:ascii="宋体" w:hAnsi="宋体" w:eastAsia="宋体" w:cs="宋体"/>
                <w:sz w:val="24"/>
                <w:szCs w:val="24"/>
              </w:rPr>
            </w:pPr>
          </w:p>
        </w:tc>
        <w:tc>
          <w:tcPr>
            <w:tcW w:w="1418" w:type="dxa"/>
            <w:vAlign w:val="center"/>
          </w:tcPr>
          <w:p w14:paraId="3AD17A86">
            <w:pPr>
              <w:jc w:val="center"/>
              <w:rPr>
                <w:rFonts w:hint="eastAsia" w:ascii="宋体" w:hAnsi="宋体" w:eastAsia="宋体" w:cs="宋体"/>
                <w:sz w:val="24"/>
                <w:szCs w:val="24"/>
              </w:rPr>
            </w:pPr>
            <w:r>
              <w:rPr>
                <w:rFonts w:hint="eastAsia" w:ascii="宋体" w:hAnsi="宋体" w:eastAsia="宋体" w:cs="宋体"/>
                <w:sz w:val="24"/>
                <w:szCs w:val="24"/>
              </w:rPr>
              <w:t>人员配置（10分）</w:t>
            </w:r>
          </w:p>
        </w:tc>
        <w:tc>
          <w:tcPr>
            <w:tcW w:w="5607" w:type="dxa"/>
            <w:gridSpan w:val="2"/>
          </w:tcPr>
          <w:p w14:paraId="313EA45F">
            <w:pPr>
              <w:rPr>
                <w:rFonts w:hint="eastAsia" w:ascii="宋体" w:hAnsi="宋体" w:eastAsia="宋体" w:cs="宋体"/>
                <w:sz w:val="21"/>
                <w:szCs w:val="21"/>
              </w:rPr>
            </w:pPr>
            <w:r>
              <w:rPr>
                <w:rFonts w:hint="eastAsia" w:ascii="宋体" w:hAnsi="宋体" w:eastAsia="宋体" w:cs="宋体"/>
                <w:sz w:val="21"/>
                <w:szCs w:val="21"/>
              </w:rPr>
              <w:t>（1）机构设置合理，人员配备齐全，项目负责人沟通、协调能力强，经验丰富，得10分；</w:t>
            </w:r>
          </w:p>
          <w:p w14:paraId="4792C0C5">
            <w:pPr>
              <w:rPr>
                <w:rFonts w:hint="eastAsia" w:ascii="宋体" w:hAnsi="宋体" w:eastAsia="宋体" w:cs="宋体"/>
                <w:sz w:val="21"/>
                <w:szCs w:val="21"/>
              </w:rPr>
            </w:pPr>
            <w:r>
              <w:rPr>
                <w:rFonts w:hint="eastAsia" w:ascii="宋体" w:hAnsi="宋体" w:eastAsia="宋体" w:cs="宋体"/>
                <w:sz w:val="21"/>
                <w:szCs w:val="21"/>
              </w:rPr>
              <w:t>（2）机构设置较合理，人员配备能满足项目服务要求，得8分；</w:t>
            </w:r>
          </w:p>
          <w:p w14:paraId="042FE1C5">
            <w:pPr>
              <w:rPr>
                <w:rFonts w:hint="eastAsia" w:ascii="宋体" w:hAnsi="宋体" w:eastAsia="宋体" w:cs="宋体"/>
                <w:sz w:val="21"/>
                <w:szCs w:val="21"/>
              </w:rPr>
            </w:pPr>
            <w:bookmarkStart w:id="0" w:name="_GoBack"/>
            <w:bookmarkEnd w:id="0"/>
            <w:r>
              <w:rPr>
                <w:rFonts w:hint="eastAsia" w:ascii="宋体" w:hAnsi="宋体" w:eastAsia="宋体" w:cs="宋体"/>
                <w:sz w:val="21"/>
                <w:szCs w:val="21"/>
              </w:rPr>
              <w:t>（3）机构设置基本合理，人员配备基本能满足项目服务要求，得5分；</w:t>
            </w:r>
          </w:p>
          <w:p w14:paraId="02698F9D">
            <w:pPr>
              <w:rPr>
                <w:rFonts w:hint="eastAsia" w:ascii="宋体" w:hAnsi="宋体" w:eastAsia="宋体" w:cs="宋体"/>
                <w:sz w:val="21"/>
                <w:szCs w:val="21"/>
              </w:rPr>
            </w:pPr>
            <w:r>
              <w:rPr>
                <w:rFonts w:hint="eastAsia" w:ascii="宋体" w:hAnsi="宋体" w:eastAsia="宋体" w:cs="宋体"/>
                <w:sz w:val="21"/>
                <w:szCs w:val="21"/>
              </w:rPr>
              <w:t>（4）机构设置基本合理人员配备不能满足项目服务要求，得2分；</w:t>
            </w:r>
          </w:p>
          <w:p w14:paraId="014D0256">
            <w:pPr>
              <w:rPr>
                <w:rFonts w:hint="eastAsia" w:ascii="宋体" w:hAnsi="宋体" w:eastAsia="宋体" w:cs="宋体"/>
                <w:sz w:val="21"/>
                <w:szCs w:val="21"/>
              </w:rPr>
            </w:pPr>
            <w:r>
              <w:rPr>
                <w:rFonts w:hint="eastAsia" w:ascii="宋体" w:hAnsi="宋体" w:eastAsia="宋体" w:cs="宋体"/>
                <w:sz w:val="21"/>
                <w:szCs w:val="21"/>
              </w:rPr>
              <w:t>（5）未提供方案或所提供方案不满足要求，得0分。</w:t>
            </w:r>
          </w:p>
        </w:tc>
      </w:tr>
      <w:tr w14:paraId="1D74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tcPr>
          <w:p w14:paraId="6B1B79D6">
            <w:pPr>
              <w:rPr>
                <w:rFonts w:hint="eastAsia" w:ascii="宋体" w:hAnsi="宋体" w:eastAsia="宋体" w:cs="宋体"/>
                <w:sz w:val="24"/>
                <w:szCs w:val="24"/>
              </w:rPr>
            </w:pPr>
          </w:p>
        </w:tc>
        <w:tc>
          <w:tcPr>
            <w:tcW w:w="1418" w:type="dxa"/>
            <w:vAlign w:val="center"/>
          </w:tcPr>
          <w:p w14:paraId="3CCA20AD">
            <w:pPr>
              <w:rPr>
                <w:rFonts w:hint="eastAsia" w:ascii="宋体" w:hAnsi="宋体" w:eastAsia="宋体" w:cs="宋体"/>
                <w:sz w:val="24"/>
                <w:szCs w:val="24"/>
              </w:rPr>
            </w:pPr>
            <w:r>
              <w:rPr>
                <w:rFonts w:hint="eastAsia" w:ascii="宋体" w:hAnsi="宋体" w:eastAsia="宋体" w:cs="宋体"/>
                <w:sz w:val="24"/>
                <w:szCs w:val="24"/>
              </w:rPr>
              <w:t>售后服务方案（10分）</w:t>
            </w:r>
          </w:p>
        </w:tc>
        <w:tc>
          <w:tcPr>
            <w:tcW w:w="5607" w:type="dxa"/>
            <w:gridSpan w:val="2"/>
          </w:tcPr>
          <w:p w14:paraId="08BD0CE1">
            <w:pPr>
              <w:rPr>
                <w:rFonts w:hint="eastAsia" w:ascii="宋体" w:hAnsi="宋体" w:eastAsia="宋体" w:cs="宋体"/>
                <w:sz w:val="21"/>
                <w:szCs w:val="21"/>
              </w:rPr>
            </w:pPr>
            <w:r>
              <w:rPr>
                <w:rFonts w:hint="eastAsia" w:ascii="宋体" w:hAnsi="宋体" w:eastAsia="宋体" w:cs="宋体"/>
                <w:sz w:val="21"/>
                <w:szCs w:val="21"/>
              </w:rPr>
              <w:t>根据供应商对本项目制定详细的售后服务方案(包含但不限于专家评审时间控制、专家评审环节中出现的疑难杂症的应急处理措施、出具正式报告时间控制、对采购单位后续的跟踪服务等)进行综合评价:</w:t>
            </w:r>
          </w:p>
          <w:p w14:paraId="072D7569">
            <w:pPr>
              <w:rPr>
                <w:rFonts w:hint="eastAsia" w:ascii="宋体" w:hAnsi="宋体" w:eastAsia="宋体" w:cs="宋体"/>
                <w:sz w:val="21"/>
                <w:szCs w:val="21"/>
              </w:rPr>
            </w:pPr>
            <w:r>
              <w:rPr>
                <w:rFonts w:hint="eastAsia" w:ascii="宋体" w:hAnsi="宋体" w:eastAsia="宋体" w:cs="宋体"/>
                <w:sz w:val="21"/>
                <w:szCs w:val="21"/>
              </w:rPr>
              <w:t>(1)方案完整、明确合理、针对性强、可实施性强的计，得10分；</w:t>
            </w:r>
          </w:p>
          <w:p w14:paraId="1723E57A">
            <w:pPr>
              <w:rPr>
                <w:rFonts w:hint="eastAsia" w:ascii="宋体" w:hAnsi="宋体" w:eastAsia="宋体" w:cs="宋体"/>
                <w:sz w:val="21"/>
                <w:szCs w:val="21"/>
              </w:rPr>
            </w:pPr>
            <w:r>
              <w:rPr>
                <w:rFonts w:hint="eastAsia" w:ascii="宋体" w:hAnsi="宋体" w:eastAsia="宋体" w:cs="宋体"/>
                <w:sz w:val="21"/>
                <w:szCs w:val="21"/>
              </w:rPr>
              <w:t>(2)方案较完整、较明确合理、针对性较强、可行性较强的，得8分；</w:t>
            </w:r>
          </w:p>
          <w:p w14:paraId="53C0B395">
            <w:pPr>
              <w:rPr>
                <w:rFonts w:hint="eastAsia" w:ascii="宋体" w:hAnsi="宋体" w:eastAsia="宋体" w:cs="宋体"/>
                <w:sz w:val="21"/>
                <w:szCs w:val="21"/>
              </w:rPr>
            </w:pPr>
            <w:r>
              <w:rPr>
                <w:rFonts w:hint="eastAsia" w:ascii="宋体" w:hAnsi="宋体" w:eastAsia="宋体" w:cs="宋体"/>
                <w:sz w:val="21"/>
                <w:szCs w:val="21"/>
              </w:rPr>
              <w:t>（3）方案欠完整、欠明确合理、针对性一般、可行性一般的，得5分；</w:t>
            </w:r>
          </w:p>
          <w:p w14:paraId="777BBADC">
            <w:pPr>
              <w:rPr>
                <w:rFonts w:hint="eastAsia" w:ascii="宋体" w:hAnsi="宋体" w:eastAsia="宋体" w:cs="宋体"/>
                <w:sz w:val="21"/>
                <w:szCs w:val="21"/>
              </w:rPr>
            </w:pPr>
            <w:r>
              <w:rPr>
                <w:rFonts w:hint="eastAsia" w:ascii="宋体" w:hAnsi="宋体" w:eastAsia="宋体" w:cs="宋体"/>
                <w:sz w:val="21"/>
                <w:szCs w:val="21"/>
              </w:rPr>
              <w:t>(4)方案不完整、不明确合理、无针对性、无可行性的，得2分；</w:t>
            </w:r>
          </w:p>
          <w:p w14:paraId="6F016DE5">
            <w:pPr>
              <w:rPr>
                <w:rFonts w:hint="eastAsia" w:ascii="宋体" w:hAnsi="宋体" w:eastAsia="宋体" w:cs="宋体"/>
                <w:sz w:val="21"/>
                <w:szCs w:val="21"/>
              </w:rPr>
            </w:pPr>
            <w:r>
              <w:rPr>
                <w:rFonts w:hint="eastAsia" w:ascii="宋体" w:hAnsi="宋体" w:eastAsia="宋体" w:cs="宋体"/>
                <w:sz w:val="21"/>
                <w:szCs w:val="21"/>
              </w:rPr>
              <w:t>(5)未提供售后服务方案的，得0分。</w:t>
            </w:r>
          </w:p>
        </w:tc>
      </w:tr>
      <w:tr w14:paraId="7B17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14:paraId="70BFA1D0">
            <w:pPr>
              <w:rPr>
                <w:rFonts w:hint="eastAsia" w:ascii="宋体" w:hAnsi="宋体" w:eastAsia="宋体" w:cs="宋体"/>
                <w:sz w:val="24"/>
                <w:szCs w:val="24"/>
              </w:rPr>
            </w:pPr>
            <w:r>
              <w:rPr>
                <w:rFonts w:hint="eastAsia" w:ascii="宋体" w:hAnsi="宋体" w:eastAsia="宋体" w:cs="宋体"/>
                <w:sz w:val="24"/>
                <w:szCs w:val="24"/>
              </w:rPr>
              <w:t>商务部分（16分）</w:t>
            </w:r>
          </w:p>
        </w:tc>
        <w:tc>
          <w:tcPr>
            <w:tcW w:w="1418" w:type="dxa"/>
            <w:vAlign w:val="center"/>
          </w:tcPr>
          <w:p w14:paraId="164DBA53">
            <w:pPr>
              <w:rPr>
                <w:rFonts w:hint="eastAsia" w:ascii="宋体" w:hAnsi="宋体" w:eastAsia="宋体" w:cs="宋体"/>
                <w:sz w:val="24"/>
                <w:szCs w:val="24"/>
              </w:rPr>
            </w:pPr>
            <w:r>
              <w:rPr>
                <w:rFonts w:hint="eastAsia" w:ascii="宋体" w:hAnsi="宋体" w:eastAsia="宋体" w:cs="宋体"/>
                <w:sz w:val="24"/>
                <w:szCs w:val="24"/>
              </w:rPr>
              <w:t>企业业绩（10分）</w:t>
            </w:r>
          </w:p>
        </w:tc>
        <w:tc>
          <w:tcPr>
            <w:tcW w:w="5607" w:type="dxa"/>
            <w:gridSpan w:val="2"/>
          </w:tcPr>
          <w:p w14:paraId="76BF65B5">
            <w:pPr>
              <w:rPr>
                <w:rFonts w:hint="eastAsia" w:ascii="宋体" w:hAnsi="宋体" w:eastAsia="宋体" w:cs="宋体"/>
                <w:sz w:val="21"/>
                <w:szCs w:val="21"/>
              </w:rPr>
            </w:pPr>
            <w:r>
              <w:rPr>
                <w:rFonts w:hint="eastAsia" w:ascii="宋体" w:hAnsi="宋体" w:eastAsia="宋体" w:cs="宋体"/>
                <w:sz w:val="21"/>
                <w:szCs w:val="21"/>
              </w:rPr>
              <w:t>供应商提供近三年(2022年3月至今)完成类似项目业绩，提供合同书(近三年业绩时间以合同签订时间为准)有一个得2分，最多得10分。</w:t>
            </w:r>
          </w:p>
        </w:tc>
      </w:tr>
      <w:tr w14:paraId="61DD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271" w:type="dxa"/>
            <w:vMerge w:val="continue"/>
          </w:tcPr>
          <w:p w14:paraId="6B702A79">
            <w:pPr>
              <w:rPr>
                <w:rFonts w:hint="eastAsia" w:ascii="宋体" w:hAnsi="宋体" w:eastAsia="宋体" w:cs="宋体"/>
                <w:sz w:val="24"/>
                <w:szCs w:val="24"/>
              </w:rPr>
            </w:pPr>
          </w:p>
        </w:tc>
        <w:tc>
          <w:tcPr>
            <w:tcW w:w="1418" w:type="dxa"/>
            <w:vAlign w:val="center"/>
          </w:tcPr>
          <w:p w14:paraId="28276945">
            <w:pPr>
              <w:rPr>
                <w:rFonts w:hint="eastAsia" w:ascii="宋体" w:hAnsi="宋体" w:eastAsia="宋体" w:cs="宋体"/>
                <w:sz w:val="24"/>
                <w:szCs w:val="24"/>
              </w:rPr>
            </w:pPr>
            <w:r>
              <w:rPr>
                <w:rFonts w:hint="eastAsia" w:ascii="宋体" w:hAnsi="宋体" w:eastAsia="宋体" w:cs="宋体"/>
                <w:sz w:val="24"/>
                <w:szCs w:val="24"/>
              </w:rPr>
              <w:t>项目团队配置（6分）</w:t>
            </w:r>
          </w:p>
        </w:tc>
        <w:tc>
          <w:tcPr>
            <w:tcW w:w="5607" w:type="dxa"/>
            <w:gridSpan w:val="2"/>
          </w:tcPr>
          <w:p w14:paraId="067CA965">
            <w:pPr>
              <w:rPr>
                <w:rFonts w:hint="eastAsia" w:ascii="宋体" w:hAnsi="宋体" w:eastAsia="宋体" w:cs="宋体"/>
                <w:sz w:val="21"/>
                <w:szCs w:val="21"/>
              </w:rPr>
            </w:pPr>
            <w:r>
              <w:rPr>
                <w:rFonts w:hint="eastAsia" w:ascii="宋体" w:hAnsi="宋体" w:eastAsia="宋体" w:cs="宋体"/>
                <w:sz w:val="21"/>
                <w:szCs w:val="21"/>
              </w:rPr>
              <w:t>供应商拟委派项目团队中，每提供1名</w:t>
            </w:r>
            <w:r>
              <w:rPr>
                <w:rFonts w:hint="eastAsia" w:ascii="宋体" w:hAnsi="宋体" w:eastAsia="宋体" w:cs="宋体"/>
                <w:sz w:val="21"/>
                <w:szCs w:val="21"/>
                <w:lang w:eastAsia="zh-CN"/>
              </w:rPr>
              <w:t>卫生</w:t>
            </w:r>
            <w:r>
              <w:rPr>
                <w:rFonts w:hint="eastAsia" w:ascii="宋体" w:hAnsi="宋体" w:eastAsia="宋体" w:cs="宋体"/>
                <w:sz w:val="21"/>
                <w:szCs w:val="21"/>
              </w:rPr>
              <w:t>相关专业高级职称人员的得2分，最多得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tc>
      </w:tr>
      <w:tr w14:paraId="0B6B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71E211E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响应报价分）</w:t>
            </w:r>
          </w:p>
        </w:tc>
        <w:tc>
          <w:tcPr>
            <w:tcW w:w="1418" w:type="dxa"/>
            <w:vAlign w:val="center"/>
          </w:tcPr>
          <w:p w14:paraId="474646B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投标报价（10分）</w:t>
            </w:r>
          </w:p>
        </w:tc>
        <w:tc>
          <w:tcPr>
            <w:tcW w:w="5607" w:type="dxa"/>
            <w:gridSpan w:val="2"/>
            <w:vAlign w:val="center"/>
          </w:tcPr>
          <w:p w14:paraId="2795ACF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51679935">
      <w:pPr>
        <w:rPr>
          <w:rFonts w:ascii="宋体" w:hAnsi="宋体" w:eastAsia="宋体"/>
          <w:sz w:val="24"/>
          <w:szCs w:val="24"/>
        </w:rPr>
      </w:pPr>
    </w:p>
    <w:p w14:paraId="43F3D92A">
      <w:pPr>
        <w:widowControl/>
        <w:jc w:val="left"/>
        <w:rPr>
          <w:rFonts w:hint="eastAsia" w:ascii="宋体" w:hAnsi="宋体" w:eastAsia="宋体" w:cs="宋体"/>
          <w:bCs/>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kMzQyZWFlZmE2MDk2MzY3ZjBmN2IzMzQ2YTZhYWUifQ=="/>
  </w:docVars>
  <w:rsids>
    <w:rsidRoot w:val="00C411F2"/>
    <w:rsid w:val="0018184C"/>
    <w:rsid w:val="001A5BB7"/>
    <w:rsid w:val="0025636E"/>
    <w:rsid w:val="002B3314"/>
    <w:rsid w:val="00347CD0"/>
    <w:rsid w:val="004A069F"/>
    <w:rsid w:val="004A178B"/>
    <w:rsid w:val="004F2EA8"/>
    <w:rsid w:val="00516E23"/>
    <w:rsid w:val="00643488"/>
    <w:rsid w:val="0071723B"/>
    <w:rsid w:val="00831553"/>
    <w:rsid w:val="00870053"/>
    <w:rsid w:val="00883CF6"/>
    <w:rsid w:val="00892B20"/>
    <w:rsid w:val="008E3647"/>
    <w:rsid w:val="009011C8"/>
    <w:rsid w:val="009F20E7"/>
    <w:rsid w:val="00A80D68"/>
    <w:rsid w:val="00C411F2"/>
    <w:rsid w:val="00C87A47"/>
    <w:rsid w:val="00D15CA5"/>
    <w:rsid w:val="00DD2E4A"/>
    <w:rsid w:val="00E62ED2"/>
    <w:rsid w:val="00E74A3A"/>
    <w:rsid w:val="00E978E0"/>
    <w:rsid w:val="00ED6852"/>
    <w:rsid w:val="00F47CC0"/>
    <w:rsid w:val="00F8583A"/>
    <w:rsid w:val="0290332F"/>
    <w:rsid w:val="0578793C"/>
    <w:rsid w:val="079015BA"/>
    <w:rsid w:val="133212A6"/>
    <w:rsid w:val="1D206454"/>
    <w:rsid w:val="1E77272F"/>
    <w:rsid w:val="226F4CCD"/>
    <w:rsid w:val="273744BE"/>
    <w:rsid w:val="37DE1ACA"/>
    <w:rsid w:val="39D97CC4"/>
    <w:rsid w:val="40E26F0D"/>
    <w:rsid w:val="44E1638E"/>
    <w:rsid w:val="648F2E76"/>
    <w:rsid w:val="6CCF1B52"/>
    <w:rsid w:val="76D167F3"/>
    <w:rsid w:val="78A31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834</Words>
  <Characters>891</Characters>
  <Lines>6</Lines>
  <Paragraphs>1</Paragraphs>
  <TotalTime>1</TotalTime>
  <ScaleCrop>false</ScaleCrop>
  <LinksUpToDate>false</LinksUpToDate>
  <CharactersWithSpaces>896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2022-08-12T08:55:00Z</dcterms:created>
  <dc:creator>Administrator</dc:creator>
  <cp:lastModifiedBy>韩啸</cp:lastModifiedBy>
  <dcterms:modified xsi:type="dcterms:W3CDTF">2025-09-12T17:37:47Z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C3027B16D8E24D84903659A55C0EFF67_13</vt:lpwstr>
  </property>
  <property fmtid="{D5CDD505-2E9C-101B-9397-08002B2CF9AE}" pid="4" name="KSOTemplateDocerSaveRecord">
    <vt:lpwstr>eyJoZGlkIjoiYWY4ZTQ1ODY3MDYwMDAzZjYzOGEzNjQ1YzU1MzE0N2QiLCJ1c2VySWQiOiI0NTIyNDYyNjYifQ==</vt:lpwstr>
  </property>
</Properties>
</file>